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B5050" w14:textId="4602E65D" w:rsidR="007A40CE" w:rsidRPr="003313FA" w:rsidRDefault="007A40CE" w:rsidP="003313FA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val="en-US"/>
        </w:rPr>
      </w:pPr>
      <w:r w:rsidRPr="003313FA">
        <w:rPr>
          <w:rFonts w:ascii="Arial" w:eastAsia="Times New Roman" w:hAnsi="Arial" w:cs="Arial"/>
          <w:b/>
          <w:bCs/>
          <w:color w:val="2D363A"/>
          <w:kern w:val="36"/>
          <w:sz w:val="28"/>
          <w:szCs w:val="28"/>
          <w:lang w:val="en-US"/>
        </w:rPr>
        <w:t>Key Stages: Search, Screening, Extraction, Appraisal and Synthesis</w:t>
      </w:r>
    </w:p>
    <w:p w14:paraId="3F54D3CC" w14:textId="3068F05C" w:rsidR="007A40CE" w:rsidRPr="003313FA" w:rsidRDefault="007A40CE" w:rsidP="007A40C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Booth, A., Sutton, A., &amp; </w:t>
      </w:r>
      <w:proofErr w:type="spellStart"/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>Papaioannou</w:t>
      </w:r>
      <w:proofErr w:type="spellEnd"/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D. (2016). </w:t>
      </w:r>
      <w:r w:rsidRPr="003313F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Systematic Approaches to a Successful Literature Review. </w:t>
      </w: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>Sage Publications.</w:t>
      </w:r>
    </w:p>
    <w:p w14:paraId="44D9D0B7" w14:textId="77777777" w:rsidR="007A40CE" w:rsidRPr="003313FA" w:rsidRDefault="007A40CE" w:rsidP="007A40C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344DFE92" w14:textId="7328C768" w:rsidR="007A40CE" w:rsidRPr="003313FA" w:rsidRDefault="007A40CE" w:rsidP="007A40C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CASP checklists. </w:t>
      </w:r>
      <w:hyperlink r:id="rId4" w:history="1">
        <w:r w:rsidRPr="003313FA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/>
          </w:rPr>
          <w:t>https://casp-uk.net/casp-tools-checklists/</w:t>
        </w:r>
      </w:hyperlink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(</w:t>
      </w:r>
      <w:r w:rsidRPr="003313FA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>open access</w:t>
      </w: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>)</w:t>
      </w:r>
    </w:p>
    <w:p w14:paraId="7E76D331" w14:textId="77777777" w:rsidR="007A40CE" w:rsidRPr="003313FA" w:rsidRDefault="007A40CE" w:rsidP="007A40C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2F2BE921" w14:textId="2F910D17" w:rsidR="007A40CE" w:rsidRPr="003313FA" w:rsidRDefault="007A40CE" w:rsidP="007A40C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Hillier, S., Grimmer-Somers, K., Merlin, T., Middleton, P., Salisbury, J., </w:t>
      </w:r>
      <w:proofErr w:type="spellStart"/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>Tooher</w:t>
      </w:r>
      <w:proofErr w:type="spellEnd"/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R., &amp; Weston, A. (2011). FORM: an Australian method for formulating and grading recommendations in evidence-based clinical guidelines. </w:t>
      </w:r>
      <w:r w:rsidRPr="003313F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BMC medical research methodology</w:t>
      </w: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</w:t>
      </w:r>
      <w:r w:rsidRPr="003313F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11</w:t>
      </w: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>(1), 1-8. (</w:t>
      </w:r>
      <w:proofErr w:type="gramStart"/>
      <w:r w:rsidRPr="003313FA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>open</w:t>
      </w:r>
      <w:proofErr w:type="gramEnd"/>
      <w:r w:rsidRPr="003313FA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 xml:space="preserve"> access</w:t>
      </w: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>)</w:t>
      </w:r>
    </w:p>
    <w:p w14:paraId="6AB002CB" w14:textId="77777777" w:rsidR="007A40CE" w:rsidRPr="003313FA" w:rsidRDefault="007A40CE" w:rsidP="007A40C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429B5268" w14:textId="77777777" w:rsidR="007A40CE" w:rsidRPr="003313FA" w:rsidRDefault="007A40CE" w:rsidP="007A40C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Jackson, K., &amp; </w:t>
      </w:r>
      <w:proofErr w:type="spellStart"/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>Bazeley</w:t>
      </w:r>
      <w:proofErr w:type="spellEnd"/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P. (2019). </w:t>
      </w:r>
      <w:r w:rsidRPr="003313F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Qualitative data analysis with NVivo</w:t>
      </w: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>. Sage.</w:t>
      </w:r>
    </w:p>
    <w:p w14:paraId="5BB53B31" w14:textId="77777777" w:rsidR="007A40CE" w:rsidRPr="003313FA" w:rsidRDefault="007A40CE" w:rsidP="007A40C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52ACB7B8" w14:textId="7D6824F9" w:rsidR="007A40CE" w:rsidRPr="003313FA" w:rsidRDefault="007A40CE" w:rsidP="007A40C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>MacMillan, F., McBride, K. A., George, E. S., &amp; Steiner, G. Z. (2019). Conducting a Systematic Review: A Practical Guide. In '</w:t>
      </w:r>
      <w:r w:rsidRPr="003313F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Handbook of Research Methods in Health Social Sciences', </w:t>
      </w:r>
      <w:proofErr w:type="spellStart"/>
      <w:r w:rsidRPr="003313F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Pranee</w:t>
      </w:r>
      <w:proofErr w:type="spellEnd"/>
      <w:r w:rsidRPr="003313F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Liamputtong (Ed.). Western Sydney University. Singapore: Springer</w:t>
      </w: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>, 805-826.</w:t>
      </w:r>
    </w:p>
    <w:p w14:paraId="1F5F4EA2" w14:textId="77777777" w:rsidR="007A40CE" w:rsidRPr="003313FA" w:rsidRDefault="007A40CE" w:rsidP="007A40C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4710DD6B" w14:textId="26585F2A" w:rsidR="007A40CE" w:rsidRPr="003313FA" w:rsidRDefault="007A40CE" w:rsidP="007A40C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proofErr w:type="spellStart"/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>Purssell</w:t>
      </w:r>
      <w:proofErr w:type="spellEnd"/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E., &amp; McCrae, N. (2020). </w:t>
      </w:r>
      <w:r w:rsidRPr="003313F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How to perform a systematic literature review: A guide for healthcare researchers, </w:t>
      </w:r>
      <w:proofErr w:type="gramStart"/>
      <w:r w:rsidRPr="003313F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practitioners</w:t>
      </w:r>
      <w:proofErr w:type="gramEnd"/>
      <w:r w:rsidRPr="003313F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and students</w:t>
      </w: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>. Springer Nature.</w:t>
      </w:r>
    </w:p>
    <w:p w14:paraId="27479E95" w14:textId="77777777" w:rsidR="007A40CE" w:rsidRPr="003313FA" w:rsidRDefault="007A40CE" w:rsidP="007A40C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6D0B27F6" w14:textId="019B892F" w:rsidR="007A40CE" w:rsidRPr="003313FA" w:rsidRDefault="007A40CE" w:rsidP="007A40CE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/>
        </w:rPr>
      </w:pPr>
      <w:r w:rsidRPr="003313FA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Schulz, K.F., Altman, D.G., Moher, D. </w:t>
      </w:r>
      <w:r w:rsidRPr="003313FA">
        <w:rPr>
          <w:rFonts w:ascii="Arial" w:eastAsia="Times New Roman" w:hAnsi="Arial" w:cs="Arial"/>
          <w:i/>
          <w:iCs/>
          <w:color w:val="333333"/>
          <w:sz w:val="24"/>
          <w:szCs w:val="24"/>
          <w:lang w:val="en-US"/>
        </w:rPr>
        <w:t>et al.</w:t>
      </w:r>
      <w:r w:rsidRPr="003313FA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CONSORT 2010 Statement: updated guidelines for reporting parallel group </w:t>
      </w:r>
      <w:proofErr w:type="spellStart"/>
      <w:r w:rsidRPr="003313FA">
        <w:rPr>
          <w:rFonts w:ascii="Arial" w:eastAsia="Times New Roman" w:hAnsi="Arial" w:cs="Arial"/>
          <w:color w:val="333333"/>
          <w:sz w:val="24"/>
          <w:szCs w:val="24"/>
          <w:lang w:val="en-US"/>
        </w:rPr>
        <w:t>randomised</w:t>
      </w:r>
      <w:proofErr w:type="spellEnd"/>
      <w:r w:rsidRPr="003313FA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trials. </w:t>
      </w:r>
      <w:r w:rsidRPr="003313FA">
        <w:rPr>
          <w:rFonts w:ascii="Arial" w:eastAsia="Times New Roman" w:hAnsi="Arial" w:cs="Arial"/>
          <w:i/>
          <w:iCs/>
          <w:color w:val="333333"/>
          <w:sz w:val="24"/>
          <w:szCs w:val="24"/>
          <w:lang w:val="en-US"/>
        </w:rPr>
        <w:t>BMC Med</w:t>
      </w:r>
      <w:r w:rsidRPr="003313FA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r w:rsidRPr="003313FA">
        <w:rPr>
          <w:rFonts w:ascii="Arial" w:eastAsia="Times New Roman" w:hAnsi="Arial" w:cs="Arial"/>
          <w:b/>
          <w:bCs/>
          <w:color w:val="333333"/>
          <w:sz w:val="24"/>
          <w:szCs w:val="24"/>
          <w:lang w:val="en-US"/>
        </w:rPr>
        <w:t xml:space="preserve">8, </w:t>
      </w:r>
      <w:r w:rsidRPr="003313FA">
        <w:rPr>
          <w:rFonts w:ascii="Arial" w:eastAsia="Times New Roman" w:hAnsi="Arial" w:cs="Arial"/>
          <w:color w:val="333333"/>
          <w:sz w:val="24"/>
          <w:szCs w:val="24"/>
          <w:lang w:val="en-US"/>
        </w:rPr>
        <w:t>18 (2010). (</w:t>
      </w:r>
      <w:proofErr w:type="gramStart"/>
      <w:r w:rsidRPr="003313F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val="en-US"/>
        </w:rPr>
        <w:t>open</w:t>
      </w:r>
      <w:proofErr w:type="gramEnd"/>
      <w:r w:rsidRPr="003313F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val="en-US"/>
        </w:rPr>
        <w:t xml:space="preserve"> access</w:t>
      </w:r>
      <w:r w:rsidRPr="003313FA">
        <w:rPr>
          <w:rFonts w:ascii="Arial" w:eastAsia="Times New Roman" w:hAnsi="Arial" w:cs="Arial"/>
          <w:color w:val="333333"/>
          <w:sz w:val="24"/>
          <w:szCs w:val="24"/>
          <w:lang w:val="en-US"/>
        </w:rPr>
        <w:t>)</w:t>
      </w:r>
    </w:p>
    <w:p w14:paraId="46EA7563" w14:textId="77777777" w:rsidR="007A40CE" w:rsidRPr="003313FA" w:rsidRDefault="007A40CE" w:rsidP="007A40C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6008FD41" w14:textId="2BA64257" w:rsidR="007A40CE" w:rsidRPr="003313FA" w:rsidRDefault="007A40CE" w:rsidP="007A40C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Teo, C. H., Ng, C. J., Booth, A., &amp; White, A. (2016). Barriers and facilitators to health screening in men: a systematic review. </w:t>
      </w:r>
      <w:r w:rsidRPr="003313F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Social Science &amp; Medicine</w:t>
      </w: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</w:t>
      </w:r>
      <w:r w:rsidRPr="003313F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165</w:t>
      </w: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>, 168-176.</w:t>
      </w:r>
    </w:p>
    <w:p w14:paraId="244BCDB6" w14:textId="77777777" w:rsidR="007A40CE" w:rsidRPr="003313FA" w:rsidRDefault="007A40CE" w:rsidP="007A40C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53E88E3D" w14:textId="77777777" w:rsidR="007A40CE" w:rsidRPr="003313FA" w:rsidRDefault="007A40CE" w:rsidP="007A40C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Von Elm, E., Altman, D. G., Egger, M., Pocock, S. J., </w:t>
      </w:r>
      <w:proofErr w:type="spellStart"/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>Gøtzsche</w:t>
      </w:r>
      <w:proofErr w:type="spellEnd"/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P. C., &amp; </w:t>
      </w:r>
      <w:proofErr w:type="spellStart"/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>Vandenbroucke</w:t>
      </w:r>
      <w:proofErr w:type="spellEnd"/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J. P. (2007). The Strengthening the Reporting of Observational Studies in Epidemiology (STROBE) statement: guidelines for reporting observational studies. </w:t>
      </w:r>
      <w:r w:rsidRPr="003313F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Bulletin of the World Health Organization</w:t>
      </w: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</w:t>
      </w:r>
      <w:r w:rsidRPr="003313F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85</w:t>
      </w: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>, 867-872. (</w:t>
      </w:r>
      <w:proofErr w:type="gramStart"/>
      <w:r w:rsidRPr="003313FA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>open</w:t>
      </w:r>
      <w:proofErr w:type="gramEnd"/>
      <w:r w:rsidRPr="003313FA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 xml:space="preserve"> access</w:t>
      </w:r>
      <w:r w:rsidRPr="003313FA">
        <w:rPr>
          <w:rFonts w:ascii="Arial" w:eastAsia="Times New Roman" w:hAnsi="Arial" w:cs="Arial"/>
          <w:color w:val="222222"/>
          <w:sz w:val="24"/>
          <w:szCs w:val="24"/>
          <w:lang w:val="en-US"/>
        </w:rPr>
        <w:t>)</w:t>
      </w:r>
    </w:p>
    <w:p w14:paraId="524707AC" w14:textId="77777777" w:rsidR="00EB7204" w:rsidRDefault="00EB7204"/>
    <w:sectPr w:rsidR="00EB72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CE"/>
    <w:rsid w:val="003313FA"/>
    <w:rsid w:val="007A40CE"/>
    <w:rsid w:val="00EB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9445F"/>
  <w15:chartTrackingRefBased/>
  <w15:docId w15:val="{5B50F1D4-D19B-45E4-B976-81A3C16F6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link w:val="Heading1Char"/>
    <w:uiPriority w:val="9"/>
    <w:qFormat/>
    <w:rsid w:val="007A40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40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7A40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1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2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asp-uk.net/casp-tools-checklis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Dimitar Karadzhov</dc:creator>
  <cp:keywords/>
  <dc:description/>
  <cp:lastModifiedBy>Laura Sharp</cp:lastModifiedBy>
  <cp:revision>3</cp:revision>
  <dcterms:created xsi:type="dcterms:W3CDTF">2022-04-28T22:41:00Z</dcterms:created>
  <dcterms:modified xsi:type="dcterms:W3CDTF">2022-05-06T20:05:00Z</dcterms:modified>
</cp:coreProperties>
</file>